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7364A"/>
          <w:sz w:val="38"/>
        </w:rPr>
        <w:t>SELLER PROPERTY INFORMATION WORKSHEET</w:t>
      </w:r>
    </w:p>
    <w:p>
      <w:pPr>
        <w:spacing w:after="100"/>
      </w:pPr>
      <w:r>
        <w:rPr>
          <w:rFonts w:ascii="Arial" w:hAnsi="Arial"/>
          <w:i/>
          <w:color w:val="526A77"/>
          <w:sz w:val="20"/>
        </w:rPr>
        <w:t>A practical Realtor-ready worksheet for accurate property facts, cleaner appraisal files, and smoother closings.</w:t>
      </w:r>
    </w:p>
    <w:p>
      <w:pPr>
        <w:spacing w:after="80" w:before="60"/>
        <w:pBdr>
          <w:bottom w:val="single" w:sz="16" w:space="1" w:color="2F6655"/>
        </w:pBdr>
      </w:pPr>
    </w:p>
    <w:p>
      <w:pPr>
        <w:spacing w:before="80" w:after="140"/>
      </w:pPr>
      <w:r>
        <w:rPr>
          <w:b/>
          <w:color w:val="2F6655"/>
          <w:sz w:val="18"/>
        </w:rPr>
        <w:t xml:space="preserve">HOW TO USE THIS WORKSHEET  </w:t>
      </w:r>
      <w:r>
        <w:rPr>
          <w:sz w:val="18"/>
        </w:rPr>
        <w:t>Complete this worksheet with the seller before the appraisal inspection. Attach available permits, invoices, plans, surveys, solar documents, HOA information, and other records. Provide facts and documentation; do not guess. If a date is not known, mark it “Unknown” or “Approximate.”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05"/>
        <w:gridCol w:w="9475"/>
      </w:tblGrid>
      <w:tr>
        <w:tc>
          <w:tcPr>
            <w:tcW w:type="dxa" w:w="5328"/>
            <w:shd w:fill="2F6655"/>
            <w:vAlign w:val="center"/>
            <w:tcBorders>
              <w:top w:val="single" w:sz="4" w:color="2F6655"/>
              <w:left w:val="single" w:sz="4" w:color="2F6655"/>
              <w:bottom w:val="single" w:sz="4" w:color="2F6655"/>
              <w:right w:val="single" w:sz="4" w:color="2F665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01</w:t>
            </w:r>
          </w:p>
        </w:tc>
        <w:tc>
          <w:tcPr>
            <w:tcW w:type="dxa" w:w="5328"/>
            <w:shd w:fill="F7F2E8"/>
            <w:vAlign w:val="center"/>
            <w:tcBorders>
              <w:top w:val="single" w:sz="4" w:color="2F6655"/>
              <w:left w:val="single" w:sz="4" w:color="2F6655"/>
              <w:bottom w:val="single" w:sz="4" w:color="2F6655"/>
              <w:right w:val="single" w:sz="4" w:color="2F665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22"/>
              </w:rPr>
              <w:t>PROPERTY &amp; CONTACT INFORMATION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024"/>
        <w:gridCol w:w="7056"/>
      </w:tblGrid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Property address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Seller / contact name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Best phone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Best email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Year acquired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Approximate year built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Source of living-area figure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Floor plan or measurement source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05"/>
        <w:gridCol w:w="9475"/>
      </w:tblGrid>
      <w:tr>
        <w:tc>
          <w:tcPr>
            <w:tcW w:type="dxa" w:w="5328"/>
            <w:shd w:fill="2F6655"/>
            <w:vAlign w:val="center"/>
            <w:tcBorders>
              <w:top w:val="single" w:sz="4" w:color="2F6655"/>
              <w:left w:val="single" w:sz="4" w:color="2F6655"/>
              <w:bottom w:val="single" w:sz="4" w:color="2F6655"/>
              <w:right w:val="single" w:sz="4" w:color="2F665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02</w:t>
            </w:r>
          </w:p>
        </w:tc>
        <w:tc>
          <w:tcPr>
            <w:tcW w:type="dxa" w:w="5328"/>
            <w:shd w:fill="F7F2E8"/>
            <w:vAlign w:val="center"/>
            <w:tcBorders>
              <w:top w:val="single" w:sz="4" w:color="2F6655"/>
              <w:left w:val="single" w:sz="4" w:color="2F6655"/>
              <w:bottom w:val="single" w:sz="4" w:color="2F6655"/>
              <w:right w:val="single" w:sz="4" w:color="2F665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22"/>
              </w:rPr>
              <w:t>RENOVATIONS &amp; MAJOR SYSTEMS</w:t>
            </w:r>
          </w:p>
          <w:p>
            <w:r>
              <w:rPr>
                <w:rFonts w:ascii="Arial" w:hAnsi="Arial"/>
                <w:color w:val="526A77"/>
                <w:sz w:val="17"/>
              </w:rPr>
              <w:t>Include approximate date, whether a permit was obtained, and enough detail to explain the work.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333"/>
            <w:shd w:fill="17364A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  <w:t>Improvement or system</w:t>
            </w:r>
          </w:p>
        </w:tc>
        <w:tc>
          <w:tcPr>
            <w:tcW w:type="dxa" w:w="1800"/>
            <w:shd w:fill="17364A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  <w:t>Approx. date</w:t>
            </w:r>
          </w:p>
        </w:tc>
        <w:tc>
          <w:tcPr>
            <w:tcW w:type="dxa" w:w="1728"/>
            <w:shd w:fill="17364A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  <w:t>Permit?</w:t>
            </w:r>
          </w:p>
        </w:tc>
        <w:tc>
          <w:tcPr>
            <w:tcW w:type="dxa" w:w="4320"/>
            <w:shd w:fill="17364A"/>
            <w:vAlign w:val="center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7"/>
              </w:rPr>
              <w:t>Notes / scope of work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Roof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HVAC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Water heater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Kitchen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Bathrooms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Windows / doors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Addition / conversion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Electrical / plumbing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  <w:tr>
        <w:tc>
          <w:tcPr>
            <w:tcW w:type="dxa" w:w="2333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17"/>
              </w:rPr>
              <w:t>Other</w:t>
            </w:r>
          </w:p>
        </w:tc>
        <w:tc>
          <w:tcPr>
            <w:tcW w:type="dxa" w:w="180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</w:t>
            </w:r>
          </w:p>
        </w:tc>
        <w:tc>
          <w:tcPr>
            <w:tcW w:type="dxa" w:w="1728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6"/>
              </w:rPr>
              <w:t>□ Yes  □ No  □ Unknown</w:t>
            </w:r>
          </w:p>
        </w:tc>
        <w:tc>
          <w:tcPr>
            <w:tcW w:type="dxa" w:w="4320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17"/>
              </w:rPr>
              <w:t>________________________________________________</w:t>
            </w:r>
          </w:p>
        </w:tc>
      </w:tr>
    </w:tbl>
    <w:p>
      <w:r>
        <w:br w:type="page"/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05"/>
        <w:gridCol w:w="9475"/>
      </w:tblGrid>
      <w:tr>
        <w:tc>
          <w:tcPr>
            <w:tcW w:type="dxa" w:w="5328"/>
            <w:shd w:fill="2F6655"/>
            <w:vAlign w:val="center"/>
            <w:tcBorders>
              <w:top w:val="single" w:sz="4" w:color="2F6655"/>
              <w:left w:val="single" w:sz="4" w:color="2F6655"/>
              <w:bottom w:val="single" w:sz="4" w:color="2F6655"/>
              <w:right w:val="single" w:sz="4" w:color="2F665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03</w:t>
            </w:r>
          </w:p>
        </w:tc>
        <w:tc>
          <w:tcPr>
            <w:tcW w:type="dxa" w:w="5328"/>
            <w:shd w:fill="F7F2E8"/>
            <w:vAlign w:val="center"/>
            <w:tcBorders>
              <w:top w:val="single" w:sz="4" w:color="2F6655"/>
              <w:left w:val="single" w:sz="4" w:color="2F6655"/>
              <w:bottom w:val="single" w:sz="4" w:color="2F6655"/>
              <w:right w:val="single" w:sz="4" w:color="2F665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22"/>
              </w:rPr>
              <w:t>SPECIAL FEATURES &amp; SEPARATE SPACES</w:t>
            </w:r>
          </w:p>
          <w:p>
            <w:r>
              <w:rPr>
                <w:rFonts w:ascii="Arial" w:hAnsi="Arial"/>
                <w:color w:val="526A77"/>
                <w:sz w:val="17"/>
              </w:rPr>
              <w:t>Provide documents for items that change ownership, use, access, or finished-area reporting.</w:t>
            </w:r>
          </w:p>
        </w:tc>
      </w:tr>
    </w:tbl>
    <w:p>
      <w:pPr>
        <w:spacing w:after="40"/>
      </w:pP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Pool or spa — type, age, condition, and equipment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Generator — size, fuel, installation date, and ownership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Solar — owned, leased, or financed; remaining obligation; attach agreement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Workshop, barn, stable, or detached building — size, use, utilities, and finish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Accessory unit or guest suite — access, kitchen, utilities, permits, and rental history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Addition or converted space — interior access, permits, and intended use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Flood, water influence, elevation, private road, shared driveway, easement, or access agreement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HOA name, contact, dues, assessments, restrictions, and relevant documents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024"/>
        <w:gridCol w:w="7056"/>
      </w:tblGrid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Other feature important to typical buyers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  <w:tr>
        <w:tc>
          <w:tcPr>
            <w:tcW w:type="dxa" w:w="3024"/>
            <w:shd w:fill="E8EFE9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2F6655"/>
                <w:sz w:val="18"/>
              </w:rPr>
              <w:t>Additional details or document notes</w:t>
            </w:r>
          </w:p>
        </w:tc>
        <w:tc>
          <w:tcPr>
            <w:tcW w:type="dxa" w:w="7056"/>
            <w:vAlign w:val="center"/>
            <w:tcBorders>
              <w:top w:val="single" w:sz="3" w:color="D4DDD5"/>
              <w:left w:val="single" w:sz="3" w:color="D4DDD5"/>
              <w:bottom w:val="single" w:sz="3" w:color="D4DDD5"/>
              <w:right w:val="single" w:sz="3" w:color="D4DDD5"/>
            </w:tcBorders>
          </w:tcPr>
          <w:p>
            <w:pPr>
              <w:jc w:val="left"/>
            </w:pPr>
            <w:r>
              <w:rPr>
                <w:rFonts w:ascii="Arial" w:hAnsi="Arial"/>
                <w:b w:val="0"/>
                <w:color w:val="526A77"/>
                <w:sz w:val="20"/>
              </w:rPr>
              <w:t>________________________________________________________________</w:t>
            </w: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05"/>
        <w:gridCol w:w="9475"/>
      </w:tblGrid>
      <w:tr>
        <w:tc>
          <w:tcPr>
            <w:tcW w:type="dxa" w:w="5328"/>
            <w:shd w:fill="2F6655"/>
            <w:vAlign w:val="center"/>
            <w:tcBorders>
              <w:top w:val="single" w:sz="4" w:color="2F6655"/>
              <w:left w:val="single" w:sz="4" w:color="2F6655"/>
              <w:bottom w:val="single" w:sz="4" w:color="2F6655"/>
              <w:right w:val="single" w:sz="4" w:color="2F665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04</w:t>
            </w:r>
          </w:p>
        </w:tc>
        <w:tc>
          <w:tcPr>
            <w:tcW w:type="dxa" w:w="5328"/>
            <w:shd w:fill="F7F2E8"/>
            <w:vAlign w:val="center"/>
            <w:tcBorders>
              <w:top w:val="single" w:sz="4" w:color="2F6655"/>
              <w:left w:val="single" w:sz="4" w:color="2F6655"/>
              <w:bottom w:val="single" w:sz="4" w:color="2F6655"/>
              <w:right w:val="single" w:sz="4" w:color="2F6655"/>
            </w:tcBorders>
          </w:tcPr>
          <w:p>
            <w:pPr>
              <w:jc w:val="left"/>
            </w:pPr>
            <w:r>
              <w:rPr>
                <w:rFonts w:ascii="Arial" w:hAnsi="Arial"/>
                <w:b/>
                <w:color w:val="17364A"/>
                <w:sz w:val="22"/>
              </w:rPr>
              <w:t>MLS &amp; TRANSACTION ACCURACY CHECK</w:t>
            </w:r>
          </w:p>
        </w:tc>
      </w:tr>
    </w:tbl>
    <w:p>
      <w:pPr>
        <w:spacing w:after="40"/>
      </w:pP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Lot size and source are accurate.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Living area and source are accurate; separate spaces are not combined improperly.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Bedroom, bathroom, room count, additions, conversions, and accessory units are described accurately.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Renovation dates and major-system ages are included when known.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Amenities are identified: pool, generator, solar, garage, carport, shop, barn, or similar features.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Flood, access, HOA, easement, private-road, and water-influence information is complete.</w:t>
      </w:r>
    </w:p>
    <w:p>
      <w:pPr>
        <w:spacing w:after="80"/>
        <w:ind w:left="144"/>
      </w:pPr>
      <w:r>
        <w:rPr>
          <w:rFonts w:ascii="Arial" w:hAnsi="Arial"/>
          <w:color w:val="17364A"/>
          <w:sz w:val="19"/>
        </w:rPr>
        <w:t>□ Executed contract, addenda, concession type/amount, rate buydowns, personal property, and material terms are organized.</w:t>
      </w:r>
    </w:p>
    <w:p>
      <w:pPr>
        <w:spacing w:after="80" w:before="60"/>
        <w:pBdr>
          <w:bottom w:val="single" w:sz="16" w:space="1" w:color="2F6655"/>
        </w:pBdr>
      </w:pPr>
    </w:p>
    <w:p>
      <w:pPr>
        <w:spacing w:before="100"/>
        <w:jc w:val="center"/>
      </w:pPr>
      <w:r>
        <w:rPr>
          <w:rFonts w:ascii="Arial" w:hAnsi="Arial"/>
          <w:b/>
          <w:color w:val="2F6655"/>
          <w:sz w:val="17"/>
        </w:rPr>
        <w:t>Better documentation supports a smoother process. It does not direct the appraiser’s independent value conclusion or guarantee loan approval.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26A77"/>
        <w:sz w:val="15"/>
      </w:rPr>
      <w:t>Joseph Mier &amp; Associates  •  985-230-0730  •  jmappraisers.com  •  Educational worksheet for real estate professionals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2F6655"/>
        <w:sz w:val="15"/>
      </w:rPr>
      <w:t>JOSEPH MIER &amp; ASSOCIATES  |  ASK THE APPRAISER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